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On</w:t>
      </w:r>
      <w:r>
        <w:t xml:space="preserve"> </w:t>
      </w:r>
      <w:r>
        <w:t xml:space="preserve">Accountable</w:t>
      </w:r>
      <w:r>
        <w:t xml:space="preserve"> </w:t>
      </w:r>
      <w:r>
        <w:t xml:space="preserve">Objects:</w:t>
      </w:r>
      <w:r>
        <w:t xml:space="preserve"> </w:t>
      </w:r>
      <w:r>
        <w:t xml:space="preserve">Designing</w:t>
      </w:r>
      <w:r>
        <w:t xml:space="preserve"> </w:t>
      </w:r>
      <w:r>
        <w:t xml:space="preserve">and</w:t>
      </w:r>
      <w:r>
        <w:t xml:space="preserve"> </w:t>
      </w:r>
      <w:r>
        <w:t xml:space="preserve">Deploying</w:t>
      </w:r>
      <w:r>
        <w:t xml:space="preserve"> </w:t>
      </w:r>
      <w:r>
        <w:t xml:space="preserve">Accountability</w:t>
      </w:r>
      <w:r>
        <w:t xml:space="preserve"> </w:t>
      </w:r>
      <w:r>
        <w:t xml:space="preserve">Tools</w:t>
      </w:r>
      <w:r>
        <w:t xml:space="preserve"> </w:t>
      </w:r>
      <w:r>
        <w:t xml:space="preserve">for</w:t>
      </w:r>
      <w:r>
        <w:t xml:space="preserve"> </w:t>
      </w:r>
      <w:r>
        <w:t xml:space="preserve">Charities</w:t>
      </w:r>
    </w:p>
    <w:p>
      <w:pPr>
        <w:pStyle w:val="Author"/>
      </w:pPr>
      <w:r>
        <w:t xml:space="preserve">Matt</w:t>
      </w:r>
      <w:r>
        <w:t xml:space="preserve"> </w:t>
      </w:r>
      <w:r>
        <w:t xml:space="preserve">Marshall</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Heading1"/>
      </w:pPr>
      <w:bookmarkStart w:id="20" w:name="abstract"/>
      <w:r>
        <w:t xml:space="preserve">Abstract</w:t>
      </w:r>
      <w:bookmarkEnd w:id="20"/>
    </w:p>
    <w:p>
      <w:pPr>
        <w:pStyle w:val="FirstParagraph"/>
      </w:pPr>
      <w:r>
        <w:t xml:space="preserve">Charities, Non-Profits, and other Third Sector Organisations are important elements of our civic society; operating in areas where the government (both Local and Central) have either under-served or are not trusted to operate. They are often funded through combinations of private or public grants and have legal protections excusing them from tax obligations. Due to their tendency to work with vulnerable and marginalised groups, and their financial status they are often required to be</w:t>
      </w:r>
      <w:r>
        <w:t xml:space="preserve"> </w:t>
      </w:r>
      <w:r>
        <w:t xml:space="preserve">‘</w:t>
      </w:r>
      <w:r>
        <w:t xml:space="preserve">Transparent and Accountable</w:t>
      </w:r>
      <w:r>
        <w:t xml:space="preserve">’</w:t>
      </w:r>
      <w:r>
        <w:t xml:space="preserve"> </w:t>
      </w:r>
      <w:r>
        <w:t xml:space="preserve">in both their work and spending.</w:t>
      </w:r>
    </w:p>
    <w:p>
      <w:pPr>
        <w:pStyle w:val="BodyText"/>
      </w:pPr>
      <w:r>
        <w:t xml:space="preserve">This thesis presents a workplace study account of over three years’ embedded research within a charitable organisation in North East England, with details of additional engagements with other charity sector actors. In the thesis, I outline how</w:t>
      </w:r>
      <w:r>
        <w:t xml:space="preserve"> </w:t>
      </w:r>
      <w:r>
        <w:t xml:space="preserve">‘</w:t>
      </w:r>
      <w:r>
        <w:t xml:space="preserve">Transparency and Accountability</w:t>
      </w:r>
      <w:r>
        <w:t xml:space="preserve">’</w:t>
      </w:r>
      <w:r>
        <w:t xml:space="preserve"> </w:t>
      </w:r>
      <w:r>
        <w:t xml:space="preserve">are accomplished in everyday work practice and I chronicle a design process leading to the development of novel, inter-operable, accountability tools within this setting. These tools were trialled across two charities and then discussed with key financial stakeholders to critically evaluate their efficacy. I then present further implications for designing for</w:t>
      </w:r>
      <w:r>
        <w:t xml:space="preserve"> </w:t>
      </w:r>
      <w:r>
        <w:t xml:space="preserve">‘</w:t>
      </w:r>
      <w:r>
        <w:t xml:space="preserve">Transparency and Accountability</w:t>
      </w:r>
      <w:r>
        <w:t xml:space="preserve">’</w:t>
      </w:r>
      <w:r>
        <w:t xml:space="preserve"> </w:t>
      </w:r>
      <w:r>
        <w:t xml:space="preserve">in charities.</w:t>
      </w:r>
    </w:p>
    <w:p>
      <w:pPr>
        <w:pStyle w:val="BodyText"/>
      </w:pPr>
      <w:r>
        <w:t xml:space="preserve">I provide the following contributions. Firstly; an understanding of</w:t>
      </w:r>
      <w:r>
        <w:t xml:space="preserve"> </w:t>
      </w:r>
      <w:r>
        <w:t xml:space="preserve">‘</w:t>
      </w:r>
      <w:r>
        <w:t xml:space="preserve">Accountability Work</w:t>
      </w:r>
      <w:r>
        <w:t xml:space="preserve">’</w:t>
      </w:r>
      <w:r>
        <w:t xml:space="preserve"> </w:t>
      </w:r>
      <w:r>
        <w:t xml:space="preserve">in workplace practice and design requirements for digital systems in these environments. Secondly, a model for the structured representation of everyday charity activities, first as the</w:t>
      </w:r>
      <w:r>
        <w:t xml:space="preserve"> </w:t>
      </w:r>
      <w:r>
        <w:rPr>
          <w:i/>
        </w:rPr>
        <w:t xml:space="preserve">Qualitative Accounting Data Standard</w:t>
      </w:r>
      <w:r>
        <w:t xml:space="preserve"> </w:t>
      </w:r>
      <w:r>
        <w:t xml:space="preserve">and then, through the implications of its deployment, in modelling commitments and actions. Thirdly; a set of design requirements for systems and interfaces to support the collection and curation of, and interactions with, this data in charities. Finally, I present</w:t>
      </w:r>
      <w:r>
        <w:t xml:space="preserve"> </w:t>
      </w:r>
      <w:r>
        <w:rPr>
          <w:i/>
        </w:rPr>
        <w:t xml:space="preserve">Vanguard Design</w:t>
      </w:r>
      <w:r>
        <w:t xml:space="preserve"> </w:t>
      </w:r>
      <w:r>
        <w:t xml:space="preserve">as an implementation and critique of participatory design principles in the environment of small front-line charities and contribute lessons for Digital Civics researchers in these contexts.</w:t>
      </w:r>
    </w:p>
    <w:p>
      <w:pPr>
        <w:pStyle w:val="Heading1"/>
      </w:pPr>
      <w:bookmarkStart w:id="21" w:name="dedication"/>
      <w:r>
        <w:t xml:space="preserve">Dedication</w:t>
      </w:r>
      <w:bookmarkEnd w:id="21"/>
    </w:p>
    <w:p>
      <w:pPr>
        <w:pStyle w:val="FirstParagraph"/>
      </w:pPr>
      <w:r>
        <w:t xml:space="preserve">This thesis is dedicated to Andi, Carl, Dean, Lynne, Mick, Owen, Sonia, Sydney, and the young people of the West End of Newcastle upon Tyne.</w:t>
      </w:r>
    </w:p>
    <w:p>
      <w:pPr>
        <w:pStyle w:val="BodyText"/>
      </w:pPr>
      <w:r>
        <w:t xml:space="preserve">In loving memory of Mick, who did so much for so many and asked for so little in return.</w:t>
      </w:r>
    </w:p>
    <w:p>
      <w:pPr>
        <w:pStyle w:val="BodyText"/>
      </w:pPr>
      <w:r>
        <w:rPr>
          <w:i/>
        </w:rPr>
        <w:t xml:space="preserve">Deyr fé</w:t>
      </w:r>
      <w:r>
        <w:t xml:space="preserve"> </w:t>
      </w:r>
      <w:r>
        <w:t xml:space="preserve"> </w:t>
      </w:r>
      <w:r>
        <w:rPr>
          <w:i/>
        </w:rPr>
        <w:t xml:space="preserve">deyja frændr</w:t>
      </w:r>
      <w:r>
        <w:t xml:space="preserve"> </w:t>
      </w:r>
      <w:r>
        <w:t xml:space="preserve"> </w:t>
      </w:r>
      <w:r>
        <w:rPr>
          <w:i/>
        </w:rPr>
        <w:t xml:space="preserve">deyr sjálfr it sama</w:t>
      </w:r>
      <w:r>
        <w:t xml:space="preserve"> </w:t>
      </w:r>
      <w:r>
        <w:t xml:space="preserve"> </w:t>
      </w:r>
      <w:r>
        <w:rPr>
          <w:i/>
        </w:rPr>
        <w:t xml:space="preserve">en orðstírr</w:t>
      </w:r>
      <w:r>
        <w:t xml:space="preserve"> </w:t>
      </w:r>
      <w:r>
        <w:t xml:space="preserve"> </w:t>
      </w:r>
      <w:r>
        <w:rPr>
          <w:i/>
        </w:rPr>
        <w:t xml:space="preserve">deyr aldregi</w:t>
      </w:r>
      <w:r>
        <w:t xml:space="preserve"> </w:t>
      </w:r>
      <w:r>
        <w:t xml:space="preserve"> </w:t>
      </w:r>
      <w:r>
        <w:rPr>
          <w:i/>
        </w:rPr>
        <w:t xml:space="preserve">hveim er sér góðan getr</w:t>
      </w:r>
    </w:p>
    <w:p>
      <w:pPr>
        <w:pStyle w:val="BodyText"/>
      </w:pPr>
      <w:r>
        <w:rPr>
          <w:i/>
        </w:rPr>
        <w:t xml:space="preserve">Deyr fé</w:t>
      </w:r>
      <w:r>
        <w:t xml:space="preserve"> </w:t>
      </w:r>
      <w:r>
        <w:t xml:space="preserve"> </w:t>
      </w:r>
      <w:r>
        <w:rPr>
          <w:i/>
        </w:rPr>
        <w:t xml:space="preserve">deyja frændr</w:t>
      </w:r>
      <w:r>
        <w:t xml:space="preserve"> </w:t>
      </w:r>
      <w:r>
        <w:t xml:space="preserve"> </w:t>
      </w:r>
      <w:r>
        <w:rPr>
          <w:i/>
        </w:rPr>
        <w:t xml:space="preserve">deyr sjálfr it sama</w:t>
      </w:r>
      <w:r>
        <w:t xml:space="preserve"> </w:t>
      </w:r>
      <w:r>
        <w:t xml:space="preserve"> </w:t>
      </w:r>
      <w:r>
        <w:rPr>
          <w:i/>
        </w:rPr>
        <w:t xml:space="preserve">ek veit einn</w:t>
      </w:r>
      <w:r>
        <w:t xml:space="preserve"> </w:t>
      </w:r>
      <w:r>
        <w:t xml:space="preserve"> </w:t>
      </w:r>
      <w:r>
        <w:rPr>
          <w:i/>
        </w:rPr>
        <w:t xml:space="preserve">at aldri deyr</w:t>
      </w:r>
      <w:r>
        <w:t xml:space="preserve"> </w:t>
      </w:r>
      <w:r>
        <w:t xml:space="preserve"> </w:t>
      </w:r>
      <w:r>
        <w:rPr>
          <w:i/>
        </w:rPr>
        <w:t xml:space="preserve">dómr um dauðan hvern</w:t>
      </w:r>
    </w:p>
    <w:p>
      <w:pPr>
        <w:pStyle w:val="Heading1"/>
      </w:pPr>
      <w:bookmarkStart w:id="22" w:name="acknowledgements"/>
      <w:r>
        <w:t xml:space="preserve">Acknowledgements</w:t>
      </w:r>
      <w:bookmarkEnd w:id="22"/>
    </w:p>
    <w:p>
      <w:pPr>
        <w:pStyle w:val="FirstParagraph"/>
      </w:pPr>
      <w:r>
        <w:t xml:space="preserve">It goes without saying that thesis-writing does not occur in a vacuum. Despite a few substantial bumps in the road, I am very glad to be in a position to submit this work and the only reason I am here now is because of the collective efforts of many in helping me. It is impossible to capture in words the deep well of gratitude I have for all mentioned and beyond.</w:t>
      </w:r>
    </w:p>
    <w:p>
      <w:pPr>
        <w:pStyle w:val="BodyText"/>
      </w:pPr>
      <w:r>
        <w:t xml:space="preserve">First and foremost; special thanks to my collaborators and participants who took part in this work. Working within the context of The Patchwork Project made me a better researcher, and ultimately made me a better man. I started working there when I was 24 and thus the same age as many of the service users. I am not sure whether Patchwork intended to</w:t>
      </w:r>
      <w:r>
        <w:t xml:space="preserve"> </w:t>
      </w:r>
      <w:r>
        <w:t xml:space="preserve">“</w:t>
      </w:r>
      <w:r>
        <w:t xml:space="preserve">do Youth Work</w:t>
      </w:r>
      <w:r>
        <w:t xml:space="preserve">”</w:t>
      </w:r>
      <w:r>
        <w:t xml:space="preserve"> </w:t>
      </w:r>
      <w:r>
        <w:t xml:space="preserve">on me, but they did. They made me more collaborative, less anxious about how I appeared to others, and gave me more support than any other single institution involved in this thesis. This thesis is dedicated to them. If I named every young person who made me smile I’d never finish this work, but the 8 - 12 group at Patchy 2 formed some of the warmest and most treasured memories I own. Further thanks to Gateshead Older People’s Assembly and Edbert’s House for participating in the design and deployment. Especially to</w:t>
      </w:r>
      <w:r>
        <w:t xml:space="preserve"> </w:t>
      </w:r>
      <w:r>
        <w:t xml:space="preserve">‘</w:t>
      </w:r>
      <w:r>
        <w:t xml:space="preserve">Heather</w:t>
      </w:r>
      <w:r>
        <w:t xml:space="preserve">’</w:t>
      </w:r>
      <w:r>
        <w:t xml:space="preserve">, who furnished me with more tea and cake than I could handle during our visits. I cannot thank any of you enough, and I love you all dearly.</w:t>
      </w:r>
    </w:p>
    <w:p>
      <w:pPr>
        <w:pStyle w:val="BodyText"/>
      </w:pPr>
      <w:r>
        <w:t xml:space="preserve">Next I wish to thank colleagues and collaborators within Open Lab. Dave Kirk’s herculean supervision efforts in getting this thesis even remotely close to submission cannot go understated. A true mentor and guide, thank you so much. My Digital Civics contemporaries, across the whole CDT, have provided immeasurable laughs and phenomenal guidance across the years. Special mention here must be given to Angelika Strohmayer, without whom I would not have made it through several key challenges. Thank you, Angelika, for being the best desk-mate in the world, helping me through it all, and for sharing my passion for tea. Rosanna Bellini must also not go unthanked. First in her capacity as colleague and Digital Civics researcher she has provided frankly stupendous inspiration and has set the bar very high, it’s truly been an honour to witness her work and share a lab with her. Her second capacity is as a confidante, flatmate, and surrogate sister. In this role she has provided a home for me in every sense of the word. This has involved unceasing support, patience, and familial care. Our kitchen table has been the site of many shared laughs, mutual care, and shared meals. If I had to thank a single person for helping me with this thesis, it’d be Rosanna Bellini.</w:t>
      </w:r>
    </w:p>
    <w:p>
      <w:pPr>
        <w:pStyle w:val="BodyText"/>
      </w:pPr>
      <w:r>
        <w:t xml:space="preserve">My comrades in the Communist Party of Britain (Northern District) also need to be thanked; for embodying the importance of practice and disciplined militancy. This taught me much about sitting down and getting the work done. I especially wish to thank Martin Levy and Margaret Levy for the years of hard-learned lessons you manage to make enjoyable and accessible and for improving my reading of key texts and fundamentally making me a better Marxist. I must also thank Emma, alongside whom I’ve waved flags and clashed with fascists on many a rainy Saturday; and whose work as vanguard in the UCU stands as example to all.</w:t>
      </w:r>
    </w:p>
    <w:p>
      <w:pPr>
        <w:pStyle w:val="BodyText"/>
      </w:pPr>
      <w:r>
        <w:t xml:space="preserve">My research ended in 2018 and the last two years, while writing, I have found a place and a home with my colleagues and co-operators at Open Data Services Co-operative, who’ve granted me the stability to finish this thesis and meaningful work alongside it. This small group of people have materially enriched the lives of so many, and given me the purpose, flexibility, and stability I needed to get well again and pick up this thesis to finish it. To mention one would be a disservice to all, but thank you all so, so, much.</w:t>
      </w:r>
    </w:p>
    <w:p>
      <w:pPr>
        <w:pStyle w:val="BodyText"/>
      </w:pPr>
      <w:r>
        <w:t xml:space="preserve">I have also been lucky enough in the last few years to be surrounded by good friends, extended colleagues, and surrogate family, who have put up with me missing gatherings, and have fed both my body and soul in numerous ways to get me over the finish line. In no particular order thanks must be given to: Stacey McGeorge, Alice Adams, Karen Watson, and Jason Hussein at Goodspace Newcastle; Jack, Hannah, and Maia each of the family Arnstein; Kat da Silva Morgan and Feral Noir; Aga Czarny; Bernadine Fernz; and Alexandra Dent (who has been</w:t>
      </w:r>
      <w:r>
        <w:t xml:space="preserve"> </w:t>
      </w:r>
      <w:r>
        <w:rPr>
          <w:i/>
        </w:rPr>
        <w:t xml:space="preserve">very</w:t>
      </w:r>
      <w:r>
        <w:t xml:space="preserve"> </w:t>
      </w:r>
      <w:r>
        <w:t xml:space="preserve">patient with me and very supportive these last few months).</w:t>
      </w:r>
    </w:p>
    <w:p>
      <w:pPr>
        <w:pStyle w:val="BodyText"/>
      </w:pPr>
      <w:r>
        <w:t xml:space="preserve">It would be wrong of me on many levels not to thank Bethany. You never stopped working to make me feel better, even when I couldn’t see it. I am eternally sorry and grateful, and you deserved so much better.</w:t>
      </w:r>
    </w:p>
    <w:p>
      <w:pPr>
        <w:pStyle w:val="BodyText"/>
      </w:pPr>
      <w:r>
        <w:t xml:space="preserve">Finalmente, para Valentina gracias por la orientación, la paciencia eterna y por creer en mí. Te amo.</w:t>
      </w:r>
    </w:p>
    <w:p>
      <w:pPr>
        <w:pStyle w:val="Heading1"/>
      </w:pPr>
      <w:bookmarkStart w:id="23" w:name="lists-of-tables-and-figures"/>
      <w:r>
        <w:t xml:space="preserve">Lists of Tables and Figures</w:t>
      </w:r>
      <w:bookmarkEnd w:id="23"/>
    </w:p>
    <w:p>
      <w:pPr>
        <w:pStyle w:val="Heading2"/>
      </w:pPr>
      <w:bookmarkStart w:id="24" w:name="lists-of-tables-by-chapter"/>
      <w:r>
        <w:t xml:space="preserve">Lists of Tables by chapter</w:t>
      </w:r>
      <w:bookmarkEnd w:id="24"/>
    </w:p>
    <w:p>
      <w:pPr>
        <w:pStyle w:val="Heading3"/>
      </w:pPr>
      <w:bookmarkStart w:id="25" w:name="tables-in-chapter-5"/>
      <w:r>
        <w:t xml:space="preserve">Tables in Chapter 5</w:t>
      </w:r>
      <w:bookmarkEnd w:id="25"/>
    </w:p>
    <w:p>
      <w:pPr>
        <w:pStyle w:val="Compact"/>
        <w:numPr>
          <w:numId w:val="1001"/>
          <w:ilvl w:val="0"/>
        </w:numPr>
      </w:pPr>
      <w:r>
        <w:rPr>
          <w:b/>
        </w:rPr>
        <w:t xml:space="preserve">Table 5.1</w:t>
      </w:r>
      <w:r>
        <w:t xml:space="preserve"> </w:t>
      </w:r>
      <w:r>
        <w:t xml:space="preserve">- The Qualitative Accounting schema. Building blocks are described in other tables</w:t>
      </w:r>
    </w:p>
    <w:p>
      <w:pPr>
        <w:pStyle w:val="Compact"/>
        <w:numPr>
          <w:numId w:val="1001"/>
          <w:ilvl w:val="0"/>
        </w:numPr>
      </w:pPr>
      <w:r>
        <w:rPr>
          <w:b/>
        </w:rPr>
        <w:t xml:space="preserve">Table 5.2</w:t>
      </w:r>
      <w:r>
        <w:t xml:space="preserve"> </w:t>
      </w:r>
      <w:r>
        <w:t xml:space="preserve">- The FinancialData building block used for the schema</w:t>
      </w:r>
    </w:p>
    <w:p>
      <w:pPr>
        <w:pStyle w:val="Compact"/>
        <w:numPr>
          <w:numId w:val="1001"/>
          <w:ilvl w:val="0"/>
        </w:numPr>
      </w:pPr>
      <w:r>
        <w:rPr>
          <w:b/>
        </w:rPr>
        <w:t xml:space="preserve">Table 5.3</w:t>
      </w:r>
      <w:r>
        <w:t xml:space="preserve"> </w:t>
      </w:r>
      <w:r>
        <w:t xml:space="preserve">- The Quote building block used to capture written or verbal testimonials</w:t>
      </w:r>
    </w:p>
    <w:p>
      <w:pPr>
        <w:pStyle w:val="Compact"/>
        <w:numPr>
          <w:numId w:val="1001"/>
          <w:ilvl w:val="0"/>
        </w:numPr>
      </w:pPr>
      <w:r>
        <w:rPr>
          <w:b/>
        </w:rPr>
        <w:t xml:space="preserve">Table 5.4</w:t>
      </w:r>
      <w:r>
        <w:t xml:space="preserve"> </w:t>
      </w:r>
      <w:r>
        <w:t xml:space="preserve">- The Location building block was used to capture location context</w:t>
      </w:r>
    </w:p>
    <w:p>
      <w:pPr>
        <w:pStyle w:val="Compact"/>
        <w:numPr>
          <w:numId w:val="1001"/>
          <w:ilvl w:val="0"/>
        </w:numPr>
      </w:pPr>
      <w:r>
        <w:rPr>
          <w:b/>
        </w:rPr>
        <w:t xml:space="preserve">Table 5.5</w:t>
      </w:r>
      <w:r>
        <w:t xml:space="preserve"> </w:t>
      </w:r>
      <w:r>
        <w:t xml:space="preserve">- The API endpoints stipulated by the standard to receivers of QA data</w:t>
      </w:r>
    </w:p>
    <w:p>
      <w:pPr>
        <w:pStyle w:val="Heading3"/>
      </w:pPr>
      <w:bookmarkStart w:id="26" w:name="tables-in-chapter-6"/>
      <w:r>
        <w:t xml:space="preserve">Tables in Chapter 6</w:t>
      </w:r>
      <w:bookmarkEnd w:id="26"/>
    </w:p>
    <w:p>
      <w:pPr>
        <w:pStyle w:val="Compact"/>
        <w:numPr>
          <w:numId w:val="1002"/>
          <w:ilvl w:val="0"/>
        </w:numPr>
      </w:pPr>
      <w:r>
        <w:rPr>
          <w:b/>
        </w:rPr>
        <w:t xml:space="preserve">Table 6.1</w:t>
      </w:r>
      <w:r>
        <w:t xml:space="preserve"> </w:t>
      </w:r>
      <w:r>
        <w:t xml:space="preserve">- Participants in deployments across Edbert’s House and GOPA</w:t>
      </w:r>
    </w:p>
    <w:p>
      <w:pPr>
        <w:pStyle w:val="Compact"/>
        <w:numPr>
          <w:numId w:val="1002"/>
          <w:ilvl w:val="0"/>
        </w:numPr>
      </w:pPr>
      <w:r>
        <w:rPr>
          <w:b/>
        </w:rPr>
        <w:t xml:space="preserve">Table 6.2</w:t>
      </w:r>
      <w:r>
        <w:t xml:space="preserve"> </w:t>
      </w:r>
      <w:r>
        <w:t xml:space="preserve">- Participants in the Interviews with Stakeholders portion of the evaluation</w:t>
      </w:r>
    </w:p>
    <w:p>
      <w:pPr>
        <w:pStyle w:val="Heading2"/>
      </w:pPr>
      <w:bookmarkStart w:id="27" w:name="lists-of-figures-by-chapter"/>
      <w:r>
        <w:t xml:space="preserve">Lists of Figures by chapter</w:t>
      </w:r>
      <w:bookmarkEnd w:id="27"/>
    </w:p>
    <w:p>
      <w:pPr>
        <w:pStyle w:val="Heading3"/>
      </w:pPr>
      <w:bookmarkStart w:id="28" w:name="figures-in-chapter-3"/>
      <w:r>
        <w:t xml:space="preserve">Figures in Chapter 3</w:t>
      </w:r>
      <w:bookmarkEnd w:id="28"/>
    </w:p>
    <w:p>
      <w:pPr>
        <w:pStyle w:val="Compact"/>
        <w:numPr>
          <w:numId w:val="1003"/>
          <w:ilvl w:val="0"/>
        </w:numPr>
      </w:pPr>
      <w:r>
        <w:rPr>
          <w:b/>
        </w:rPr>
        <w:t xml:space="preserve">Figure 3.1</w:t>
      </w:r>
      <w:r>
        <w:t xml:space="preserve"> </w:t>
      </w:r>
      <w:r>
        <w:t xml:space="preserve">- Timeline of Research</w:t>
      </w:r>
    </w:p>
    <w:p>
      <w:pPr>
        <w:pStyle w:val="Heading3"/>
      </w:pPr>
      <w:bookmarkStart w:id="29" w:name="figures-in-chapter-4"/>
      <w:r>
        <w:t xml:space="preserve">Figures in Chapter 4</w:t>
      </w:r>
      <w:bookmarkEnd w:id="29"/>
    </w:p>
    <w:p>
      <w:pPr>
        <w:pStyle w:val="Compact"/>
        <w:numPr>
          <w:numId w:val="1004"/>
          <w:ilvl w:val="0"/>
        </w:numPr>
      </w:pPr>
      <w:r>
        <w:rPr>
          <w:b/>
        </w:rPr>
        <w:t xml:space="preserve">Figure 4.1</w:t>
      </w:r>
      <w:r>
        <w:t xml:space="preserve"> </w:t>
      </w:r>
      <w:r>
        <w:t xml:space="preserve">- Mick at the Patchwork allotment with hired young people</w:t>
      </w:r>
    </w:p>
    <w:p>
      <w:pPr>
        <w:pStyle w:val="Compact"/>
        <w:numPr>
          <w:numId w:val="1004"/>
          <w:ilvl w:val="0"/>
        </w:numPr>
      </w:pPr>
      <w:r>
        <w:rPr>
          <w:b/>
        </w:rPr>
        <w:t xml:space="preserve">Figure 4.2</w:t>
      </w:r>
      <w:r>
        <w:t xml:space="preserve"> </w:t>
      </w:r>
      <w:r>
        <w:t xml:space="preserve">- A diagram of Patchwork’s organisational structure. Produced in 2017 and taken from their website in 2020</w:t>
      </w:r>
    </w:p>
    <w:p>
      <w:pPr>
        <w:pStyle w:val="Compact"/>
        <w:numPr>
          <w:numId w:val="1004"/>
          <w:ilvl w:val="0"/>
        </w:numPr>
      </w:pPr>
      <w:r>
        <w:rPr>
          <w:b/>
        </w:rPr>
        <w:t xml:space="preserve">Figure 4.3</w:t>
      </w:r>
      <w:r>
        <w:t xml:space="preserve"> </w:t>
      </w:r>
      <w:r>
        <w:t xml:space="preserve">- Map showing locations of Patchwork 1 (green) and Patchwork 2 (red) and walking route between them</w:t>
      </w:r>
    </w:p>
    <w:p>
      <w:pPr>
        <w:pStyle w:val="Compact"/>
        <w:numPr>
          <w:numId w:val="1004"/>
          <w:ilvl w:val="0"/>
        </w:numPr>
      </w:pPr>
      <w:r>
        <w:rPr>
          <w:b/>
        </w:rPr>
        <w:t xml:space="preserve">Figure 4.4</w:t>
      </w:r>
      <w:r>
        <w:t xml:space="preserve"> </w:t>
      </w:r>
      <w:r>
        <w:t xml:space="preserve">- A diagram of the sequential order of reconciling expenses to produce a canonical set of accounts</w:t>
      </w:r>
    </w:p>
    <w:p>
      <w:pPr>
        <w:pStyle w:val="Heading3"/>
      </w:pPr>
      <w:bookmarkStart w:id="30" w:name="figures-in-chapter-5"/>
      <w:r>
        <w:t xml:space="preserve">Figures in Chapter 5</w:t>
      </w:r>
      <w:bookmarkEnd w:id="30"/>
    </w:p>
    <w:p>
      <w:pPr>
        <w:pStyle w:val="Compact"/>
        <w:numPr>
          <w:numId w:val="1005"/>
          <w:ilvl w:val="0"/>
        </w:numPr>
      </w:pPr>
      <w:r>
        <w:rPr>
          <w:b/>
        </w:rPr>
        <w:t xml:space="preserve">Figure 5.1</w:t>
      </w:r>
      <w:r>
        <w:t xml:space="preserve"> </w:t>
      </w:r>
      <w:r>
        <w:t xml:space="preserve">- Diagram of the system architecture showing systems in and out of scope for this thesis</w:t>
      </w:r>
    </w:p>
    <w:p>
      <w:pPr>
        <w:pStyle w:val="Compact"/>
        <w:numPr>
          <w:numId w:val="1005"/>
          <w:ilvl w:val="0"/>
        </w:numPr>
      </w:pPr>
      <w:r>
        <w:rPr>
          <w:b/>
        </w:rPr>
        <w:t xml:space="preserve">Figure 5.2</w:t>
      </w:r>
      <w:r>
        <w:t xml:space="preserve"> </w:t>
      </w:r>
      <w:r>
        <w:t xml:space="preserve">- Early sketch of Accounting Scrapbook collections interface using envelopes</w:t>
      </w:r>
    </w:p>
    <w:p>
      <w:pPr>
        <w:pStyle w:val="Compact"/>
        <w:numPr>
          <w:numId w:val="1005"/>
          <w:ilvl w:val="0"/>
        </w:numPr>
      </w:pPr>
      <w:r>
        <w:rPr>
          <w:b/>
        </w:rPr>
        <w:t xml:space="preserve">Figure 5.3</w:t>
      </w:r>
      <w:r>
        <w:t xml:space="preserve"> </w:t>
      </w:r>
      <w:r>
        <w:t xml:space="preserve">- The setting and presentation of colours within Accounting Scrapbook</w:t>
      </w:r>
    </w:p>
    <w:p>
      <w:pPr>
        <w:pStyle w:val="Compact"/>
        <w:numPr>
          <w:numId w:val="1005"/>
          <w:ilvl w:val="0"/>
        </w:numPr>
      </w:pPr>
      <w:r>
        <w:rPr>
          <w:b/>
        </w:rPr>
        <w:t xml:space="preserve">Figure 5.4</w:t>
      </w:r>
      <w:r>
        <w:t xml:space="preserve"> </w:t>
      </w:r>
      <w:r>
        <w:t xml:space="preserve">- top: The old interface for entering tags. Bottom-Left: New interface. Bottom-right: New interface demonstrating auto-suggest</w:t>
      </w:r>
    </w:p>
    <w:p>
      <w:pPr>
        <w:pStyle w:val="Compact"/>
        <w:numPr>
          <w:numId w:val="1005"/>
          <w:ilvl w:val="0"/>
        </w:numPr>
      </w:pPr>
      <w:r>
        <w:rPr>
          <w:b/>
        </w:rPr>
        <w:t xml:space="preserve">Figure 5.5</w:t>
      </w:r>
      <w:r>
        <w:t xml:space="preserve"> </w:t>
      </w:r>
      <w:r>
        <w:t xml:space="preserve">- Checklist allowing items to be added to multiple scrapbooks</w:t>
      </w:r>
    </w:p>
    <w:p>
      <w:pPr>
        <w:pStyle w:val="Compact"/>
        <w:numPr>
          <w:numId w:val="1005"/>
          <w:ilvl w:val="0"/>
        </w:numPr>
      </w:pPr>
      <w:r>
        <w:rPr>
          <w:b/>
        </w:rPr>
        <w:t xml:space="preserve">Figure 5.6</w:t>
      </w:r>
      <w:r>
        <w:t xml:space="preserve"> </w:t>
      </w:r>
      <w:r>
        <w:t xml:space="preserve">- Screens to add each different type of entry</w:t>
      </w:r>
    </w:p>
    <w:p>
      <w:pPr>
        <w:pStyle w:val="Compact"/>
        <w:numPr>
          <w:numId w:val="1005"/>
          <w:ilvl w:val="0"/>
        </w:numPr>
      </w:pPr>
      <w:r>
        <w:rPr>
          <w:b/>
        </w:rPr>
        <w:t xml:space="preserve">Figure 5.7</w:t>
      </w:r>
      <w:r>
        <w:t xml:space="preserve"> </w:t>
      </w:r>
      <w:r>
        <w:t xml:space="preserve">- Left: Adding an endpoint manually with a token. Right: Multiple endpoints shown on the Manage Sharing screen, one with a yellow key to indicate a token</w:t>
      </w:r>
    </w:p>
    <w:p>
      <w:pPr>
        <w:pStyle w:val="Compact"/>
        <w:numPr>
          <w:numId w:val="1005"/>
          <w:ilvl w:val="0"/>
        </w:numPr>
      </w:pPr>
      <w:r>
        <w:rPr>
          <w:b/>
        </w:rPr>
        <w:t xml:space="preserve">Figure 5.8</w:t>
      </w:r>
      <w:r>
        <w:t xml:space="preserve"> </w:t>
      </w:r>
      <w:r>
        <w:t xml:space="preserve">- The sharing screen showing share buttons for multiple services</w:t>
      </w:r>
    </w:p>
    <w:p>
      <w:pPr>
        <w:pStyle w:val="Compact"/>
        <w:numPr>
          <w:numId w:val="1005"/>
          <w:ilvl w:val="0"/>
        </w:numPr>
      </w:pPr>
      <w:r>
        <w:rPr>
          <w:b/>
        </w:rPr>
        <w:t xml:space="preserve">Figure 5.9</w:t>
      </w:r>
      <w:r>
        <w:t xml:space="preserve"> </w:t>
      </w:r>
      <w:r>
        <w:t xml:space="preserve">- Adding and displaying Customers and Funders in Rosemary Accounts</w:t>
      </w:r>
    </w:p>
    <w:p>
      <w:pPr>
        <w:pStyle w:val="Compact"/>
        <w:numPr>
          <w:numId w:val="1005"/>
          <w:ilvl w:val="0"/>
        </w:numPr>
      </w:pPr>
      <w:r>
        <w:rPr>
          <w:b/>
        </w:rPr>
        <w:t xml:space="preserve">Figure 5.10</w:t>
      </w:r>
      <w:r>
        <w:t xml:space="preserve"> </w:t>
      </w:r>
      <w:r>
        <w:t xml:space="preserve">- The form to add income to Rosemary Accounts</w:t>
      </w:r>
    </w:p>
    <w:p>
      <w:pPr>
        <w:pStyle w:val="Compact"/>
        <w:numPr>
          <w:numId w:val="1005"/>
          <w:ilvl w:val="0"/>
        </w:numPr>
      </w:pPr>
      <w:r>
        <w:rPr>
          <w:b/>
        </w:rPr>
        <w:t xml:space="preserve">Figure 5.11</w:t>
      </w:r>
      <w:r>
        <w:t xml:space="preserve"> </w:t>
      </w:r>
      <w:r>
        <w:t xml:space="preserve">- The form to add Budget Codes to Rosemary Accounts</w:t>
      </w:r>
    </w:p>
    <w:p>
      <w:pPr>
        <w:pStyle w:val="Compact"/>
        <w:numPr>
          <w:numId w:val="1005"/>
          <w:ilvl w:val="0"/>
        </w:numPr>
      </w:pPr>
      <w:r>
        <w:rPr>
          <w:b/>
        </w:rPr>
        <w:t xml:space="preserve">Figure 5.12</w:t>
      </w:r>
      <w:r>
        <w:t xml:space="preserve"> </w:t>
      </w:r>
      <w:r>
        <w:t xml:space="preserve">- Searching for Budget Codes and Tags</w:t>
      </w:r>
    </w:p>
    <w:p>
      <w:pPr>
        <w:pStyle w:val="Compact"/>
        <w:numPr>
          <w:numId w:val="1005"/>
          <w:ilvl w:val="0"/>
        </w:numPr>
      </w:pPr>
      <w:r>
        <w:rPr>
          <w:b/>
        </w:rPr>
        <w:t xml:space="preserve">Figure 5.13</w:t>
      </w:r>
      <w:r>
        <w:t xml:space="preserve"> </w:t>
      </w:r>
      <w:r>
        <w:t xml:space="preserve">- Adding a token to Rosemary Accounts</w:t>
      </w:r>
    </w:p>
    <w:p>
      <w:pPr>
        <w:pStyle w:val="Compact"/>
        <w:numPr>
          <w:numId w:val="1005"/>
          <w:ilvl w:val="0"/>
        </w:numPr>
      </w:pPr>
      <w:r>
        <w:rPr>
          <w:b/>
        </w:rPr>
        <w:t xml:space="preserve">Figure 5.14</w:t>
      </w:r>
      <w:r>
        <w:t xml:space="preserve"> </w:t>
      </w:r>
      <w:r>
        <w:t xml:space="preserve">- Turning a Rosemary Token into a QR code for easy scanning</w:t>
      </w:r>
    </w:p>
    <w:p>
      <w:pPr>
        <w:pStyle w:val="Compact"/>
        <w:numPr>
          <w:numId w:val="1005"/>
          <w:ilvl w:val="0"/>
        </w:numPr>
      </w:pPr>
      <w:r>
        <w:rPr>
          <w:b/>
        </w:rPr>
        <w:t xml:space="preserve">Figure 5.15</w:t>
      </w:r>
      <w:r>
        <w:t xml:space="preserve"> </w:t>
      </w:r>
      <w:r>
        <w:t xml:space="preserve">- Uploading an accounting spreadsheet to Rosemary</w:t>
      </w:r>
    </w:p>
    <w:p>
      <w:pPr>
        <w:pStyle w:val="Compact"/>
        <w:numPr>
          <w:numId w:val="1005"/>
          <w:ilvl w:val="0"/>
        </w:numPr>
      </w:pPr>
      <w:r>
        <w:rPr>
          <w:b/>
        </w:rPr>
        <w:t xml:space="preserve">Figure 5.16</w:t>
      </w:r>
      <w:r>
        <w:t xml:space="preserve"> </w:t>
      </w:r>
      <w:r>
        <w:t xml:space="preserve">- Checking that data has been interpreted correctly</w:t>
      </w:r>
    </w:p>
    <w:p>
      <w:pPr>
        <w:pStyle w:val="Compact"/>
        <w:numPr>
          <w:numId w:val="1005"/>
          <w:ilvl w:val="0"/>
        </w:numPr>
      </w:pPr>
      <w:r>
        <w:rPr>
          <w:b/>
        </w:rPr>
        <w:t xml:space="preserve">Figure 5.17</w:t>
      </w:r>
      <w:r>
        <w:t xml:space="preserve"> </w:t>
      </w:r>
      <w:r>
        <w:t xml:space="preserve">- A staff member can instruct the system on how to interpret their data by selecting which field maps to concepts in Rosemary</w:t>
      </w:r>
    </w:p>
    <w:p>
      <w:pPr>
        <w:pStyle w:val="Compact"/>
        <w:numPr>
          <w:numId w:val="1005"/>
          <w:ilvl w:val="0"/>
        </w:numPr>
      </w:pPr>
      <w:r>
        <w:rPr>
          <w:b/>
        </w:rPr>
        <w:t xml:space="preserve">Figure 5.18</w:t>
      </w:r>
      <w:r>
        <w:t xml:space="preserve"> </w:t>
      </w:r>
      <w:r>
        <w:t xml:space="preserve">- The Rosemary In-Tray with items to process</w:t>
      </w:r>
    </w:p>
    <w:p>
      <w:pPr>
        <w:pStyle w:val="Compact"/>
        <w:numPr>
          <w:numId w:val="1005"/>
          <w:ilvl w:val="0"/>
        </w:numPr>
      </w:pPr>
      <w:r>
        <w:rPr>
          <w:b/>
        </w:rPr>
        <w:t xml:space="preserve">Figure 5.19</w:t>
      </w:r>
      <w:r>
        <w:t xml:space="preserve"> </w:t>
      </w:r>
      <w:r>
        <w:t xml:space="preserve">- Notifications were used to highlight that items needed attention</w:t>
      </w:r>
    </w:p>
    <w:p>
      <w:pPr>
        <w:pStyle w:val="Compact"/>
        <w:numPr>
          <w:numId w:val="1005"/>
          <w:ilvl w:val="0"/>
        </w:numPr>
      </w:pPr>
      <w:r>
        <w:rPr>
          <w:b/>
        </w:rPr>
        <w:t xml:space="preserve">Figure 5.20</w:t>
      </w:r>
      <w:r>
        <w:t xml:space="preserve"> </w:t>
      </w:r>
      <w:r>
        <w:t xml:space="preserve">- The Costing screen in Rosemary Accounts allows a manager to see their funding pots and associate costs to them</w:t>
      </w:r>
    </w:p>
    <w:p>
      <w:pPr>
        <w:pStyle w:val="Compact"/>
        <w:numPr>
          <w:numId w:val="1005"/>
          <w:ilvl w:val="0"/>
        </w:numPr>
      </w:pPr>
      <w:r>
        <w:rPr>
          <w:b/>
        </w:rPr>
        <w:t xml:space="preserve">Figure 5.21</w:t>
      </w:r>
      <w:r>
        <w:t xml:space="preserve"> </w:t>
      </w:r>
      <w:r>
        <w:t xml:space="preserve">- Interfaces supporting adding data directly to Rosemary Accounts</w:t>
      </w:r>
    </w:p>
    <w:p>
      <w:pPr>
        <w:pStyle w:val="Compact"/>
        <w:numPr>
          <w:numId w:val="1005"/>
          <w:ilvl w:val="0"/>
        </w:numPr>
      </w:pPr>
      <w:r>
        <w:rPr>
          <w:b/>
        </w:rPr>
        <w:t xml:space="preserve">Figure 5.22</w:t>
      </w:r>
      <w:r>
        <w:t xml:space="preserve"> </w:t>
      </w:r>
      <w:r>
        <w:t xml:space="preserve">- Interface supporting editing of an individual item</w:t>
      </w:r>
    </w:p>
    <w:p>
      <w:pPr>
        <w:pStyle w:val="Compact"/>
        <w:numPr>
          <w:numId w:val="1005"/>
          <w:ilvl w:val="0"/>
        </w:numPr>
      </w:pPr>
      <w:r>
        <w:rPr>
          <w:b/>
        </w:rPr>
        <w:t xml:space="preserve">Figure 5.23</w:t>
      </w:r>
      <w:r>
        <w:t xml:space="preserve"> </w:t>
      </w:r>
      <w:r>
        <w:t xml:space="preserve">- Application logic to display an item. Highlighting decisions that the system makes about how to display various components</w:t>
      </w:r>
    </w:p>
    <w:p>
      <w:pPr>
        <w:pStyle w:val="Compact"/>
        <w:numPr>
          <w:numId w:val="1005"/>
          <w:ilvl w:val="0"/>
        </w:numPr>
      </w:pPr>
      <w:r>
        <w:rPr>
          <w:b/>
        </w:rPr>
        <w:t xml:space="preserve">Figure 5.24</w:t>
      </w:r>
      <w:r>
        <w:t xml:space="preserve"> </w:t>
      </w:r>
      <w:r>
        <w:t xml:space="preserve">- The Live Feed of an organisation’s profile page on Rosemary Accounts</w:t>
      </w:r>
    </w:p>
    <w:p>
      <w:pPr>
        <w:pStyle w:val="Compact"/>
        <w:numPr>
          <w:numId w:val="1005"/>
          <w:ilvl w:val="0"/>
        </w:numPr>
      </w:pPr>
      <w:r>
        <w:rPr>
          <w:b/>
        </w:rPr>
        <w:t xml:space="preserve">Figure 5.25</w:t>
      </w:r>
      <w:r>
        <w:t xml:space="preserve"> </w:t>
      </w:r>
      <w:r>
        <w:t xml:space="preserve">- The settings allowed an organisation to explicitly enable a</w:t>
      </w:r>
      <w:r>
        <w:t xml:space="preserve"> </w:t>
      </w:r>
      <w:r>
        <w:t xml:space="preserve">“</w:t>
      </w:r>
      <w:r>
        <w:t xml:space="preserve">Live Timeline</w:t>
      </w:r>
      <w:r>
        <w:t xml:space="preserve">”</w:t>
      </w:r>
      <w:r>
        <w:t xml:space="preserve"> </w:t>
      </w:r>
      <w:r>
        <w:t xml:space="preserve">of their activity</w:t>
      </w:r>
    </w:p>
    <w:p>
      <w:pPr>
        <w:pStyle w:val="Compact"/>
        <w:numPr>
          <w:numId w:val="1005"/>
          <w:ilvl w:val="0"/>
        </w:numPr>
      </w:pPr>
      <w:r>
        <w:rPr>
          <w:b/>
        </w:rPr>
        <w:t xml:space="preserve">Figure 5.26</w:t>
      </w:r>
      <w:r>
        <w:t xml:space="preserve"> </w:t>
      </w:r>
      <w:r>
        <w:t xml:space="preserve">- Form to generate a report in Rosemary Accounts</w:t>
      </w:r>
    </w:p>
    <w:p>
      <w:pPr>
        <w:pStyle w:val="Compact"/>
        <w:numPr>
          <w:numId w:val="1005"/>
          <w:ilvl w:val="0"/>
        </w:numPr>
      </w:pPr>
      <w:r>
        <w:rPr>
          <w:b/>
        </w:rPr>
        <w:t xml:space="preserve">Figure 5.27</w:t>
      </w:r>
      <w:r>
        <w:t xml:space="preserve"> </w:t>
      </w:r>
      <w:r>
        <w:t xml:space="preserve">- Expenses and Income Summaries</w:t>
      </w:r>
    </w:p>
    <w:p>
      <w:pPr>
        <w:pStyle w:val="Compact"/>
        <w:numPr>
          <w:numId w:val="1005"/>
          <w:ilvl w:val="0"/>
        </w:numPr>
      </w:pPr>
      <w:r>
        <w:rPr>
          <w:b/>
        </w:rPr>
        <w:t xml:space="preserve">Figure 5.28</w:t>
      </w:r>
      <w:r>
        <w:t xml:space="preserve"> </w:t>
      </w:r>
      <w:r>
        <w:t xml:space="preserve">- Images in a report. Images were collected as part of fieldwork and I have explicit permission to publish in this thesis</w:t>
      </w:r>
    </w:p>
    <w:p>
      <w:pPr>
        <w:pStyle w:val="Compact"/>
        <w:numPr>
          <w:numId w:val="1005"/>
          <w:ilvl w:val="0"/>
        </w:numPr>
      </w:pPr>
      <w:r>
        <w:rPr>
          <w:b/>
        </w:rPr>
        <w:t xml:space="preserve">Figure 5.29</w:t>
      </w:r>
      <w:r>
        <w:t xml:space="preserve"> </w:t>
      </w:r>
      <w:r>
        <w:t xml:space="preserve">- Events and Locations summary</w:t>
      </w:r>
    </w:p>
    <w:p>
      <w:pPr>
        <w:pStyle w:val="Compact"/>
        <w:numPr>
          <w:numId w:val="1005"/>
          <w:ilvl w:val="0"/>
        </w:numPr>
      </w:pPr>
      <w:r>
        <w:rPr>
          <w:b/>
        </w:rPr>
        <w:t xml:space="preserve">Figure 5.30</w:t>
      </w:r>
      <w:r>
        <w:t xml:space="preserve"> </w:t>
      </w:r>
      <w:r>
        <w:t xml:space="preserve">- Tags Summary and Quotes Gallery</w:t>
      </w:r>
    </w:p>
    <w:p>
      <w:pPr>
        <w:pStyle w:val="Compact"/>
        <w:numPr>
          <w:numId w:val="1005"/>
          <w:ilvl w:val="0"/>
        </w:numPr>
      </w:pPr>
      <w:r>
        <w:rPr>
          <w:b/>
        </w:rPr>
        <w:t xml:space="preserve">Figure 5.31</w:t>
      </w:r>
      <w:r>
        <w:t xml:space="preserve"> </w:t>
      </w:r>
      <w:r>
        <w:t xml:space="preserve">- Summaries of work and costs by grant</w:t>
      </w:r>
    </w:p>
    <w:p>
      <w:pPr>
        <w:pStyle w:val="Compact"/>
        <w:numPr>
          <w:numId w:val="1005"/>
          <w:ilvl w:val="0"/>
        </w:numPr>
      </w:pPr>
      <w:r>
        <w:rPr>
          <w:b/>
        </w:rPr>
        <w:t xml:space="preserve">Figure 5.32</w:t>
      </w:r>
      <w:r>
        <w:t xml:space="preserve"> </w:t>
      </w:r>
      <w:r>
        <w:t xml:space="preserve">- A report with most modules other than the Images module. Note this is a composite image due to the size of the report on the screen</w:t>
      </w:r>
    </w:p>
    <w:p>
      <w:pPr>
        <w:pStyle w:val="Compact"/>
        <w:numPr>
          <w:numId w:val="1005"/>
          <w:ilvl w:val="0"/>
        </w:numPr>
      </w:pPr>
      <w:r>
        <w:rPr>
          <w:b/>
        </w:rPr>
        <w:t xml:space="preserve">Figure 5.33</w:t>
      </w:r>
      <w:r>
        <w:t xml:space="preserve"> </w:t>
      </w:r>
      <w:r>
        <w:t xml:space="preserve">- Export option in Rosemary Accounts</w:t>
      </w:r>
    </w:p>
    <w:p>
      <w:pPr>
        <w:pStyle w:val="Heading3"/>
      </w:pPr>
      <w:bookmarkStart w:id="31" w:name="figures-in-chapter-6"/>
      <w:r>
        <w:t xml:space="preserve">Figures in Chapter 6</w:t>
      </w:r>
      <w:bookmarkEnd w:id="31"/>
    </w:p>
    <w:p>
      <w:pPr>
        <w:pStyle w:val="Compact"/>
        <w:numPr>
          <w:numId w:val="1006"/>
          <w:ilvl w:val="0"/>
        </w:numPr>
      </w:pPr>
      <w:r>
        <w:rPr>
          <w:b/>
        </w:rPr>
        <w:t xml:space="preserve">Figure 6.1</w:t>
      </w:r>
      <w:r>
        <w:t xml:space="preserve"> </w:t>
      </w:r>
      <w:r>
        <w:t xml:space="preserve">- Timeline of deployments and evaluation</w:t>
      </w:r>
    </w:p>
    <w:p>
      <w:pPr>
        <w:pStyle w:val="Compact"/>
        <w:numPr>
          <w:numId w:val="1006"/>
          <w:ilvl w:val="0"/>
        </w:numPr>
      </w:pPr>
      <w:r>
        <w:rPr>
          <w:b/>
        </w:rPr>
        <w:t xml:space="preserve">Figure 6.2</w:t>
      </w:r>
      <w:r>
        <w:t xml:space="preserve"> </w:t>
      </w:r>
      <w:r>
        <w:t xml:space="preserve">- An example task to guide users through the system</w:t>
      </w:r>
    </w:p>
    <w:p>
      <w:pPr>
        <w:pStyle w:val="Heading1"/>
      </w:pPr>
      <w:bookmarkStart w:id="32" w:name="bibliography"/>
      <w:r>
        <w:t xml:space="preserve">Bibliography</w:t>
      </w:r>
      <w:bookmarkEnd w:id="32"/>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Accountable Objects: Designing and Deploying Accountability Tools for Charities</dc:title>
  <dc:creator>Matt Marshall</dc:creator>
  <cp:keywords/>
  <dcterms:created xsi:type="dcterms:W3CDTF">2022-01-11T08:40:25Z</dcterms:created>
  <dcterms:modified xsi:type="dcterms:W3CDTF">2022-01-11T08:40:25Z</dcterms:modified>
</cp:coreProperties>
</file>

<file path=docProps/custom.xml><?xml version="1.0" encoding="utf-8"?>
<Properties xmlns="http://schemas.openxmlformats.org/officeDocument/2006/custom-properties" xmlns:vt="http://schemas.openxmlformats.org/officeDocument/2006/docPropsVTypes"/>
</file>